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08" w:rsidRPr="003F3A3F" w:rsidRDefault="00016F08" w:rsidP="00016F08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964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016F08" w:rsidRPr="000F48AC" w:rsidRDefault="00016F08" w:rsidP="00016F0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16F08" w:rsidRPr="000F48AC" w:rsidRDefault="00016F08" w:rsidP="00016F0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16F08" w:rsidRPr="000F48AC" w:rsidRDefault="00016F08" w:rsidP="00016F0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10 DE ABRIL DE 2019</w:t>
      </w:r>
    </w:p>
    <w:p w:rsidR="00016F08" w:rsidRDefault="00016F08" w:rsidP="00016F0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2014-17-1-0000399,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1153/19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016F08" w:rsidRPr="00BB4DEC" w:rsidRDefault="00016F08" w:rsidP="00016F0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F08" w:rsidRDefault="00016F08" w:rsidP="00016F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</w:t>
      </w:r>
      <w:r w:rsidRPr="009810A0">
        <w:rPr>
          <w:rFonts w:ascii="Arial" w:hAnsi="Arial" w:cs="Arial"/>
          <w:sz w:val="24"/>
          <w:szCs w:val="24"/>
        </w:rPr>
        <w:t>remitidas por la Administración Nacional de Telecomunicaciones</w:t>
      </w:r>
      <w:r>
        <w:rPr>
          <w:rFonts w:ascii="Arial" w:hAnsi="Arial" w:cs="Arial"/>
          <w:sz w:val="24"/>
          <w:szCs w:val="24"/>
        </w:rPr>
        <w:t>,</w:t>
      </w:r>
      <w:r w:rsidRPr="009810A0">
        <w:rPr>
          <w:rFonts w:ascii="Arial" w:hAnsi="Arial" w:cs="Arial"/>
          <w:sz w:val="24"/>
          <w:szCs w:val="24"/>
        </w:rPr>
        <w:t xml:space="preserve"> relacionadas con la </w:t>
      </w:r>
      <w:r>
        <w:rPr>
          <w:rFonts w:ascii="Arial" w:hAnsi="Arial" w:cs="Arial"/>
          <w:sz w:val="24"/>
          <w:szCs w:val="24"/>
        </w:rPr>
        <w:t xml:space="preserve">ampliación de la </w:t>
      </w:r>
      <w:r w:rsidRPr="009810A0">
        <w:rPr>
          <w:rFonts w:ascii="Arial" w:hAnsi="Arial" w:cs="Arial"/>
          <w:sz w:val="24"/>
          <w:szCs w:val="24"/>
        </w:rPr>
        <w:t>contratación</w:t>
      </w:r>
      <w:r>
        <w:rPr>
          <w:rFonts w:ascii="Arial" w:hAnsi="Arial" w:cs="Arial"/>
          <w:sz w:val="24"/>
          <w:szCs w:val="24"/>
        </w:rPr>
        <w:t xml:space="preserve"> directa </w:t>
      </w:r>
      <w:r w:rsidRPr="002B5FE8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la adquisición</w:t>
      </w:r>
      <w:r w:rsidRPr="002B5FE8">
        <w:rPr>
          <w:rFonts w:ascii="Arial" w:hAnsi="Arial" w:cs="Arial"/>
          <w:sz w:val="24"/>
          <w:szCs w:val="24"/>
        </w:rPr>
        <w:t>, instalación e</w:t>
      </w:r>
      <w:r>
        <w:rPr>
          <w:rFonts w:ascii="Arial" w:hAnsi="Arial" w:cs="Arial"/>
          <w:sz w:val="24"/>
          <w:szCs w:val="24"/>
        </w:rPr>
        <w:t xml:space="preserve"> integración a la red existente </w:t>
      </w:r>
      <w:r w:rsidRPr="002B5FE8">
        <w:rPr>
          <w:rFonts w:ascii="Arial" w:hAnsi="Arial" w:cs="Arial"/>
          <w:sz w:val="24"/>
          <w:szCs w:val="24"/>
        </w:rPr>
        <w:t>de una Red Móvil con tecnología LTE y sus servicios asociado</w:t>
      </w:r>
      <w:r>
        <w:rPr>
          <w:rFonts w:ascii="Arial" w:hAnsi="Arial" w:cs="Arial"/>
          <w:sz w:val="24"/>
          <w:szCs w:val="24"/>
        </w:rPr>
        <w:t>s en modalidad “llave en mano”, en toda la República Oriental del Uruguay, con opción por parte de ANTEL de adquirir hasta un 100% más;</w:t>
      </w:r>
    </w:p>
    <w:p w:rsidR="007334DC" w:rsidRDefault="00016F08">
      <w:bookmarkStart w:id="0" w:name="_GoBack"/>
      <w:bookmarkEnd w:id="0"/>
    </w:p>
    <w:sectPr w:rsidR="0073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08"/>
    <w:rsid w:val="00016F08"/>
    <w:rsid w:val="00070F38"/>
    <w:rsid w:val="000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2019-05-10T17:57:00Z</dcterms:created>
  <dcterms:modified xsi:type="dcterms:W3CDTF">2019-05-10T17:58:00Z</dcterms:modified>
</cp:coreProperties>
</file>